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DISPENSA DE LICITAÇÃO</w:t>
      </w:r>
      <w:r>
        <w:rPr>
          <w:rFonts w:cs="Arial" w:ascii="Arial" w:hAnsi="Arial"/>
          <w:b/>
          <w:bCs/>
          <w:sz w:val="24"/>
          <w:szCs w:val="24"/>
        </w:rPr>
        <w:t xml:space="preserve"> Nº 11/2023.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335/2023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57" w:right="0" w:firstLine="3175"/>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57" w:right="0" w:firstLine="3175"/>
        <w:jc w:val="both"/>
        <w:textAlignment w:val="baseline"/>
        <w:rPr>
          <w:rFonts w:ascii="Arial" w:hAnsi="Arial" w:cs="Arial"/>
          <w:b w:val="false"/>
          <w:b w:val="false"/>
          <w:bCs w:val="false"/>
          <w:sz w:val="24"/>
          <w:szCs w:val="24"/>
        </w:rPr>
      </w:pPr>
      <w:r>
        <w:rPr>
          <w:rFonts w:cs="Arial" w:ascii="Arial" w:hAnsi="Arial"/>
          <w:b/>
          <w:bCs/>
          <w:sz w:val="24"/>
          <w:szCs w:val="24"/>
        </w:rPr>
        <w:t>O CONSÓRCIO INTERMUNICIPAL DE SAÚDE DO OESTE DO PARANÁ - CISOP</w:t>
      </w:r>
      <w:r>
        <w:rPr>
          <w:rFonts w:cs="Arial" w:ascii="Arial" w:hAnsi="Arial"/>
          <w:b w:val="false"/>
          <w:bCs w:val="false"/>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 w:val="false"/>
          <w:bCs w:val="false"/>
          <w:sz w:val="24"/>
          <w:szCs w:val="24"/>
        </w:rPr>
        <w:t xml:space="preserve">, agente político, inscrito no CPF sob nº 333.437.561/72, portador da Cédula de Identidade nº 3.462.360-0, doravante designado CISOP, e a empresa </w:t>
      </w:r>
      <w:r>
        <w:rPr>
          <w:rFonts w:cs="Arial" w:ascii="Arial" w:hAnsi="Arial"/>
          <w:b/>
          <w:bCs/>
          <w:sz w:val="24"/>
          <w:szCs w:val="24"/>
        </w:rPr>
        <w:t>AUTO POSTO MONTFORT LTDA</w:t>
      </w:r>
      <w:r>
        <w:rPr>
          <w:rFonts w:cs="Arial" w:ascii="Arial" w:hAnsi="Arial"/>
          <w:b w:val="false"/>
          <w:bCs w:val="false"/>
          <w:sz w:val="24"/>
          <w:szCs w:val="24"/>
        </w:rPr>
        <w:t xml:space="preserve">, inscrita no CNPJ sob o nº 43.579.641/0001-55, com sede na cidade de Cascavel, na Avenida Brasil, nº 5699, Bairro , neste ato representada por </w:t>
      </w:r>
      <w:r>
        <w:rPr>
          <w:rFonts w:cs="Arial" w:ascii="Arial" w:hAnsi="Arial"/>
          <w:b/>
          <w:bCs/>
          <w:sz w:val="24"/>
          <w:szCs w:val="24"/>
        </w:rPr>
        <w:t>VANDERLEI GRAZIOLI</w:t>
      </w:r>
      <w:r>
        <w:rPr>
          <w:rFonts w:cs="Arial" w:ascii="Arial" w:hAnsi="Arial"/>
          <w:b w:val="false"/>
          <w:bCs w:val="false"/>
          <w:sz w:val="24"/>
          <w:szCs w:val="24"/>
        </w:rPr>
        <w:t>, CPF nº 787.239.579-72, RG nº 5.212.762-9, expedida por SSP/PR, doravante designada CONTRATADA, têm justo e contratado entre si, em decorrência da DISPENSA DE LICITAÇÃO Nº 11/2023 e observados os preceitos das Leis Federais nºs 10.520/2002 e 8.666/1993, o presente contrato, que se regerá pelas cláusulas e condições seguintes:</w:t>
      </w:r>
    </w:p>
    <w:p>
      <w:pPr>
        <w:pStyle w:val="Normal"/>
        <w:widowControl/>
        <w:overflowPunct w:val="false"/>
        <w:autoSpaceDE w:val="false"/>
        <w:bidi w:val="0"/>
        <w:ind w:left="57"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PARA PRESTAÇÃO DE SERVIÇO PARCELADO DE LAVAGEM E MANUTENÇÃO DE VEÍCULOS.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 xml:space="preserve">a DISPENSA DE LICITAÇÃO </w:t>
      </w:r>
      <w:r>
        <w:rPr>
          <w:rFonts w:cs="Arial" w:ascii="Arial" w:hAnsi="Arial"/>
          <w:bCs/>
          <w:sz w:val="24"/>
          <w:szCs w:val="24"/>
        </w:rPr>
        <w:t>Nº 11</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highlight w:val="lightGray"/>
        </w:rPr>
        <w:t xml:space="preserve"> </w:t>
      </w:r>
      <w:r>
        <w:rPr>
          <w:rFonts w:cs="Arial" w:ascii="Arial" w:hAnsi="Arial"/>
          <w:b/>
          <w:bCs/>
          <w:sz w:val="24"/>
          <w:szCs w:val="24"/>
          <w:highlight w:val="light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R$ 14.016,00 </w:t>
      </w:r>
      <w:r>
        <w:rPr>
          <w:rFonts w:cs="Arial" w:ascii="Arial" w:hAnsi="Arial"/>
          <w:bCs/>
          <w:sz w:val="24"/>
          <w:szCs w:val="24"/>
        </w:rPr>
        <w:t>(quatorze mil e dezesseis reais)</w:t>
      </w:r>
      <w:r>
        <w:rPr>
          <w:rFonts w:cs="Arial" w:ascii="Arial" w:hAnsi="Arial"/>
          <w:bCs/>
          <w:sz w:val="24"/>
          <w:szCs w:val="24"/>
        </w:rPr>
        <w:t>, referente aos itens d</w:t>
      </w:r>
      <w:r>
        <w:rPr>
          <w:rFonts w:cs="Arial" w:ascii="Arial" w:hAnsi="Arial"/>
          <w:bCs/>
          <w:sz w:val="24"/>
          <w:szCs w:val="24"/>
        </w:rPr>
        <w:t xml:space="preserve">a DISPENSA DE LICITAÇÃO </w:t>
      </w:r>
      <w:r>
        <w:rPr>
          <w:rFonts w:cs="Arial" w:ascii="Arial" w:hAnsi="Arial"/>
          <w:bCs/>
          <w:sz w:val="24"/>
          <w:szCs w:val="24"/>
        </w:rPr>
        <w:t>Nº 11</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r>
              <w:rPr>
                <w:rFonts w:ascii="Arial" w:hAnsi="Arial"/>
                <w:sz w:val="24"/>
                <w:szCs w:val="24"/>
              </w:rPr>
              <w:t xml:space="preserve"> </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LAVAGEM DE VEÍCULOS LEVES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68,00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6.528,00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LAVAGEM DE UTILITÁRIOS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78,00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7.488,00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máximo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liquidação da despesa será feita com o reconhecimento formal pelo fiscal do contrato de que o fornecimento se deu de forma efetiva e satisfatória.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CONTRATANTE não efetuará, em nenhuma hipótese, pagamento antecipado.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3.6 - </w:t>
      </w:r>
      <w:r>
        <w:rPr>
          <w:rFonts w:cs="Arial" w:ascii="Arial" w:hAnsi="Arial"/>
          <w:bCs/>
          <w:sz w:val="24"/>
          <w:szCs w:val="24"/>
        </w:rPr>
        <w:t>O CONTRATANTE,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O pagamento realizado pelo CONTRATANTE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3.8 -</w:t>
      </w:r>
      <w:r>
        <w:rPr>
          <w:rFonts w:cs="Arial" w:ascii="Arial" w:hAnsi="Arial"/>
          <w:bCs/>
          <w:sz w:val="24"/>
          <w:szCs w:val="24"/>
        </w:rPr>
        <w:t xml:space="preserve"> O pagamento efetuado não implica, ainda, reconhecimento pelo CONTRATANTE de adimplemento por parte da CONTRATADA relativamente às obrigações que lhe são devidas em decorrência da execução do objeto, nem novação em relação a qualquer regra constante das especificações deste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lightGray"/>
        </w:rPr>
        <w:t>CLÁUSULA QUARTA - DO</w:t>
      </w:r>
      <w:r>
        <w:rPr>
          <w:rFonts w:cs="Arial" w:ascii="Arial" w:hAnsi="Arial"/>
          <w:b/>
          <w:bCs/>
          <w:sz w:val="24"/>
          <w:szCs w:val="24"/>
          <w:highlight w:val="lightGray"/>
        </w:rPr>
        <w:t>S SERVIÇOS</w:t>
      </w:r>
      <w:r>
        <w:rPr>
          <w:rFonts w:cs="Arial" w:ascii="Arial" w:hAnsi="Arial"/>
          <w:b/>
          <w:bCs/>
          <w:sz w:val="24"/>
          <w:szCs w:val="24"/>
          <w:highlight w:val="light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CONTRATANTE, na manutenção e conservação dos veículos da frota do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 </w:t>
      </w:r>
      <w:r>
        <w:rPr>
          <w:rFonts w:cs="Arial" w:ascii="Arial" w:hAnsi="Arial"/>
          <w:bCs/>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CONTRATADA ficará obrigada a trocar/refazer, às suas expensas, os serviços que vier a ser recusado, no prazo de 01 (um) dia,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serviços recusados, o Fiscal do Contrato dará ciência à Presidência do CONTRATANTE, através de Comunicação Interna, a fim de que se proceda à abertura de processo de penalidade contra a CONTRATADA,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4.6 -</w:t>
      </w:r>
      <w:r>
        <w:rPr>
          <w:rFonts w:cs="Arial" w:ascii="Arial" w:hAnsi="Arial"/>
          <w:bCs/>
          <w:sz w:val="24"/>
          <w:szCs w:val="24"/>
        </w:rPr>
        <w:t xml:space="preserve"> A prova de entrega é a assinatura do Fiscal do Contrato, responsável pelo recebimento no canhoto da nota fiscal, que servirá apenas como ressalva a CONTRATADA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O CONTRATANTE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 </w:t>
      </w:r>
      <w:r>
        <w:rPr>
          <w:rFonts w:cs="Arial" w:ascii="Arial" w:hAnsi="Arial"/>
          <w:bCs/>
          <w:sz w:val="24"/>
          <w:szCs w:val="24"/>
        </w:rPr>
        <w:t xml:space="preserve">Em nenhuma hipótese será admitido o recebimento diverso do objeto licitado ou com qualquer diferença das exigências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4.10 - </w:t>
      </w:r>
      <w:r>
        <w:rPr>
          <w:rFonts w:cs="Arial" w:ascii="Arial" w:hAnsi="Arial"/>
          <w:bCs/>
          <w:sz w:val="24"/>
          <w:szCs w:val="24"/>
        </w:rPr>
        <w:t>A CONTRATADA terá de cumprir o prazo de entrega pactuado, garantir a boa qualidade dos serviços fornecidos.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O recebimento pelo CONTRATANTE não modifica, restringe ou elide a plena responsabilidade da CONTRATADA de fornecer os serviços de acordo com as condições contidas no Edital, seus Anexos, nem invalida qualquer reclamação que o CONTRATANTE venha a fazer em virtude de posterior,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O CONTRATANTE reserva-se o direito de não receber o objeto em desacordo com as especificações e condições constantes deste instrumento convocatório, podendo aplicar a CONTRATADA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A CONTRATADA deverá entregar os serviços em total conformidade com o que fora licitado, não sendo admitida alteração posterior pela CONTRATADA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Os serviços serão prestados pela CONTRATADA, vedada a terceirização sob qualquer pretexto.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08 de novembro de 2023 a 08 de novembro de 2024, podendo ser prorrogado por um período igual e sucessivo, até o limite de 60 (sessenta) meses, conforme o disposto no art. 57, inc. II, da Lei n° 8.666/93, bem assim com as condições previstas neste edital, do qual faz parte a respectiva minuta.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pelo Administrador Geral e pelo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CONTRATANTE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w:t>
        <w:tab/>
        <w:t>-</w:t>
      </w:r>
      <w:r>
        <w:rPr>
          <w:rFonts w:cs="Arial" w:ascii="Arial" w:hAnsi="Arial"/>
          <w:bCs/>
          <w:sz w:val="24"/>
          <w:szCs w:val="24"/>
        </w:rPr>
        <w:t xml:space="preserve"> 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ao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A solicitação da CONTRATADA para cancelamento do contrato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e-mail,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A CONTRATADA fica obrigada a aceitar, nas mesmas condições contratuais, os acréscimos ou supressões que se fizerem nos serviços,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6.16 -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6.17 - </w:t>
      </w:r>
      <w:r>
        <w:rPr>
          <w:rFonts w:cs="Arial" w:ascii="Arial" w:hAnsi="Arial"/>
          <w:bCs/>
          <w:sz w:val="24"/>
          <w:szCs w:val="24"/>
        </w:rPr>
        <w:t>De acordo com a Portaria nº 30 do dia 03 de maio de 2023, fica designado a Sra. Fernanda Sbardelotto Beira, para atuar como FISCAL DO CONTRATO firmados entre o CONTRATANTE e terceiros, respondendo pelo CONTRATANTE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3.3.90.39.19.99 - Fonte 0 - Outros Serviços de Manutenção e Conservação de Veículos.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 serviço,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de fornecimento,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Proceder à substituição do pessoal, quando necessário, que por qualquer motivo fique impossibilitado de realizar 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Refazer o serviço considerado impróprio no prazo máximo de 0</w:t>
      </w:r>
      <w:r>
        <w:rPr>
          <w:rFonts w:cs="Arial" w:ascii="Arial" w:hAnsi="Arial"/>
          <w:bCs/>
          <w:sz w:val="24"/>
          <w:szCs w:val="24"/>
        </w:rPr>
        <w:t>1</w:t>
      </w:r>
      <w:r>
        <w:rPr>
          <w:rFonts w:cs="Arial" w:ascii="Arial" w:hAnsi="Arial"/>
          <w:bCs/>
          <w:sz w:val="24"/>
          <w:szCs w:val="24"/>
        </w:rPr>
        <w:t xml:space="preserve"> (</w:t>
      </w:r>
      <w:r>
        <w:rPr>
          <w:rFonts w:cs="Arial" w:ascii="Arial" w:hAnsi="Arial"/>
          <w:bCs/>
          <w:sz w:val="24"/>
          <w:szCs w:val="24"/>
        </w:rPr>
        <w:t>um</w:t>
      </w:r>
      <w:r>
        <w:rPr>
          <w:rFonts w:cs="Arial" w:ascii="Arial" w:hAnsi="Arial"/>
          <w:bCs/>
          <w:sz w:val="24"/>
          <w:szCs w:val="24"/>
        </w:rPr>
        <w:t xml:space="preserve">) dia,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8.1.11 - </w:t>
      </w:r>
      <w:r>
        <w:rPr>
          <w:rFonts w:cs="Arial" w:ascii="Arial" w:hAnsi="Arial"/>
          <w:bCs/>
          <w:sz w:val="24"/>
          <w:szCs w:val="24"/>
        </w:rPr>
        <w:t>Pela fidelidade e legitimidade das informações e dos documentos apresentados em qualquer fase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Pelo cumprimento dos prazos e demais exigências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Pela leitura de todas as condições da contratação constantes da minuta do contrato a ser assinado, não sendo admitida alegação posterior de desconhecimento.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8.1.15 - </w:t>
      </w:r>
      <w:r>
        <w:rPr>
          <w:rFonts w:cs="Arial" w:ascii="Arial" w:hAnsi="Arial"/>
          <w:bCs/>
          <w:sz w:val="24"/>
          <w:szCs w:val="24"/>
        </w:rPr>
        <w:t xml:space="preserve">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 xml:space="preserve">Requisitar o fornecimento dos </w:t>
      </w:r>
      <w:r>
        <w:rPr>
          <w:rFonts w:cs="Arial" w:ascii="Arial" w:hAnsi="Arial"/>
          <w:bCs/>
          <w:sz w:val="24"/>
          <w:szCs w:val="24"/>
        </w:rPr>
        <w:t>serviços</w:t>
      </w:r>
      <w:r>
        <w:rPr>
          <w:rFonts w:cs="Arial" w:ascii="Arial" w:hAnsi="Arial"/>
          <w:bCs/>
          <w:sz w:val="24"/>
          <w:szCs w:val="24"/>
        </w:rPr>
        <w:t>, conforme as necessidades, conferindo o fornecimento e atestando o recebimento gradual do</w:t>
      </w:r>
      <w:r>
        <w:rPr>
          <w:rFonts w:cs="Arial" w:ascii="Arial" w:hAnsi="Arial"/>
          <w:bCs/>
          <w:sz w:val="24"/>
          <w:szCs w:val="24"/>
        </w:rPr>
        <w:t xml:space="preserve">s serviços </w:t>
      </w:r>
      <w:r>
        <w:rPr>
          <w:rFonts w:cs="Arial" w:ascii="Arial" w:hAnsi="Arial"/>
          <w:bCs/>
          <w:sz w:val="24"/>
          <w:szCs w:val="24"/>
        </w:rPr>
        <w:t xml:space="preserve">através do </w:t>
      </w:r>
      <w:r>
        <w:rPr>
          <w:rFonts w:cs="Arial" w:ascii="Arial" w:hAnsi="Arial"/>
          <w:bCs/>
          <w:sz w:val="24"/>
          <w:szCs w:val="24"/>
        </w:rPr>
        <w:t>F</w:t>
      </w:r>
      <w:r>
        <w:rPr>
          <w:rFonts w:cs="Arial" w:ascii="Arial" w:hAnsi="Arial"/>
          <w:bCs/>
          <w:sz w:val="24"/>
          <w:szCs w:val="24"/>
        </w:rPr>
        <w:t xml:space="preserve">iscal do </w:t>
      </w:r>
      <w:r>
        <w:rPr>
          <w:rFonts w:cs="Arial" w:ascii="Arial" w:hAnsi="Arial"/>
          <w:bCs/>
          <w:sz w:val="24"/>
          <w:szCs w:val="24"/>
        </w:rPr>
        <w:t>C</w:t>
      </w:r>
      <w:r>
        <w:rPr>
          <w:rFonts w:cs="Arial" w:ascii="Arial" w:hAnsi="Arial"/>
          <w:bCs/>
          <w:sz w:val="24"/>
          <w:szCs w:val="24"/>
        </w:rPr>
        <w:t>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w:t>
      </w:r>
      <w:r>
        <w:rPr>
          <w:rFonts w:cs="Arial" w:ascii="Arial" w:hAnsi="Arial"/>
          <w:bCs/>
          <w:sz w:val="24"/>
          <w:szCs w:val="24"/>
        </w:rPr>
        <w:t>prestação dos serviços</w:t>
      </w:r>
      <w:r>
        <w:rPr>
          <w:rFonts w:cs="Arial" w:ascii="Arial" w:hAnsi="Arial"/>
          <w:bCs/>
          <w:sz w:val="24"/>
          <w:szCs w:val="24"/>
        </w:rPr>
        <w:t xml:space="preserve"> e interromper imediatamente </w:t>
      </w:r>
      <w:r>
        <w:rPr>
          <w:rFonts w:cs="Arial" w:ascii="Arial" w:hAnsi="Arial"/>
          <w:bCs/>
          <w:sz w:val="24"/>
          <w:szCs w:val="24"/>
        </w:rPr>
        <w:t>a presdtação dos serviços</w:t>
      </w:r>
      <w:r>
        <w:rPr>
          <w:rFonts w:cs="Arial" w:ascii="Arial" w:hAnsi="Arial"/>
          <w:bCs/>
          <w:sz w:val="24"/>
          <w:szCs w:val="24"/>
        </w:rPr>
        <w:t xml:space="preserve">,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Solicitar a substituição do</w:t>
      </w:r>
      <w:r>
        <w:rPr>
          <w:rFonts w:cs="Arial" w:ascii="Arial" w:hAnsi="Arial"/>
          <w:bCs/>
          <w:sz w:val="24"/>
          <w:szCs w:val="24"/>
        </w:rPr>
        <w:t>s serviços que não forem prestados a contento</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w:t>
      </w:r>
      <w:r>
        <w:rPr>
          <w:rFonts w:cs="Arial" w:ascii="Arial" w:hAnsi="Arial"/>
          <w:bCs/>
          <w:sz w:val="24"/>
          <w:szCs w:val="24"/>
        </w:rPr>
        <w:t>a prestação de serviços</w:t>
      </w:r>
      <w:r>
        <w:rPr>
          <w:rFonts w:cs="Arial" w:ascii="Arial" w:hAnsi="Arial"/>
          <w:bCs/>
          <w:sz w:val="24"/>
          <w:szCs w:val="24"/>
        </w:rPr>
        <w:t xml:space="preserve"> executad</w:t>
      </w:r>
      <w:r>
        <w:rPr>
          <w:rFonts w:cs="Arial" w:ascii="Arial" w:hAnsi="Arial"/>
          <w:bCs/>
          <w:sz w:val="24"/>
          <w:szCs w:val="24"/>
        </w:rPr>
        <w:t>a</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w:t>
      </w:r>
      <w:r>
        <w:rPr>
          <w:rFonts w:cs="Arial" w:ascii="Arial" w:hAnsi="Arial"/>
          <w:bCs/>
          <w:sz w:val="24"/>
          <w:szCs w:val="24"/>
        </w:rPr>
        <w:t xml:space="preserve">á </w:t>
      </w:r>
      <w:r>
        <w:rPr>
          <w:rFonts w:cs="Arial" w:ascii="Arial" w:hAnsi="Arial"/>
          <w:bCs/>
          <w:sz w:val="24"/>
          <w:szCs w:val="24"/>
        </w:rPr>
        <w:t xml:space="preserve">exercido </w:t>
      </w:r>
      <w:r>
        <w:rPr>
          <w:rFonts w:cs="Arial" w:ascii="Arial" w:hAnsi="Arial"/>
          <w:bCs/>
          <w:sz w:val="24"/>
          <w:szCs w:val="24"/>
        </w:rPr>
        <w:t>pelo Fiscal do Contrato</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w:t>
      </w:r>
      <w:r>
        <w:rPr>
          <w:rFonts w:cs="Arial" w:ascii="Arial" w:hAnsi="Arial"/>
          <w:bCs/>
          <w:sz w:val="24"/>
          <w:szCs w:val="24"/>
        </w:rPr>
        <w:t>o</w:t>
      </w:r>
      <w:r>
        <w:rPr>
          <w:rFonts w:cs="Arial" w:ascii="Arial" w:hAnsi="Arial"/>
          <w:bCs/>
          <w:sz w:val="24"/>
          <w:szCs w:val="24"/>
        </w:rPr>
        <w:t xml:space="preserv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ensejará a aplicação de sanções administrativas, previstas n</w:t>
      </w:r>
      <w:r>
        <w:rPr>
          <w:rFonts w:cs="Arial" w:ascii="Arial" w:hAnsi="Arial"/>
          <w:bCs/>
          <w:sz w:val="24"/>
          <w:szCs w:val="24"/>
        </w:rPr>
        <w:t>o</w:t>
      </w:r>
      <w:r>
        <w:rPr>
          <w:rFonts w:cs="Arial" w:ascii="Arial" w:hAnsi="Arial"/>
          <w:bCs/>
          <w:sz w:val="24"/>
          <w:szCs w:val="24"/>
        </w:rPr>
        <w:t xml:space="preserv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w:t>
      </w:r>
      <w:r>
        <w:rPr>
          <w:rFonts w:cs="Arial" w:ascii="Arial" w:hAnsi="Arial"/>
          <w:bCs/>
          <w:sz w:val="24"/>
          <w:szCs w:val="24"/>
        </w:rPr>
        <w:t xml:space="preserve">e será </w:t>
      </w:r>
      <w:r>
        <w:rPr>
          <w:rFonts w:cs="Arial" w:ascii="Arial" w:hAnsi="Arial"/>
          <w:bCs/>
          <w:sz w:val="24"/>
          <w:szCs w:val="24"/>
        </w:rPr>
        <w:t xml:space="preserve">exercida </w:t>
      </w:r>
      <w:r>
        <w:rPr>
          <w:rFonts w:cs="Arial" w:ascii="Arial" w:hAnsi="Arial"/>
          <w:bCs/>
          <w:sz w:val="24"/>
          <w:szCs w:val="24"/>
        </w:rPr>
        <w:t>pelo Fisc al do Contrato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 </w:t>
      </w:r>
      <w:r>
        <w:rPr>
          <w:rFonts w:cs="Arial" w:ascii="Arial" w:hAnsi="Arial"/>
          <w:bCs/>
          <w:sz w:val="24"/>
          <w:szCs w:val="24"/>
        </w:rPr>
        <w:t>CONTRATADA</w:t>
      </w:r>
      <w:r>
        <w:rPr>
          <w:rFonts w:cs="Arial" w:ascii="Arial" w:hAnsi="Arial"/>
          <w:bCs/>
          <w:sz w:val="24"/>
          <w:szCs w:val="24"/>
        </w:rPr>
        <w:t xml:space="preserve"> a correção das faltas, falhas e irregularidades constatadas.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w:t>
      </w:r>
      <w:r>
        <w:rPr>
          <w:rFonts w:cs="Arial" w:ascii="Arial" w:hAnsi="Arial"/>
          <w:bCs/>
          <w:sz w:val="24"/>
          <w:szCs w:val="24"/>
        </w:rPr>
        <w:t xml:space="preserve"> 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Na hipótese de comportamento continuo de desconformidade da prestação do serviço em relação à qualidade exigida,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3</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4</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5</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Se os valores dos pagamentos devidos não forem suficientes, a diferença deverá ser recolhida pela CONTRATADA no prazo máximo de 5 (cinco) dias úteis a contar da aplicação da sanção.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11</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08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VANDERLEI GRAZIOLI</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FERNANDA SBARDELOTTO BEIRA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3">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249</TotalTime>
  <Application>LibreOffice/6.4.4.2$Windows_X86_64 LibreOffice_project/3d775be2011f3886db32dfd395a6a6d1ca2630ff</Application>
  <Pages>12</Pages>
  <Words>4032</Words>
  <Characters>22129</Characters>
  <CharactersWithSpaces>26328</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2023-11-08T12:54:08Z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